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B94AA6" w:rsidRDefault="0009594D" w:rsidP="00A04040">
      <w:pPr>
        <w:pStyle w:val="Bulleted1"/>
        <w:numPr>
          <w:ilvl w:val="0"/>
          <w:numId w:val="0"/>
        </w:numPr>
      </w:pPr>
      <w:r w:rsidRPr="0009594D">
        <w:rPr>
          <w:lang w:val="nl-BE"/>
        </w:rPr>
        <w:t xml:space="preserve">Persfittingen voor koperen buizen bestemd voor </w:t>
      </w:r>
      <w:r w:rsidR="005768B8">
        <w:rPr>
          <w:lang w:val="nl-BE"/>
        </w:rPr>
        <w:t>gas</w:t>
      </w:r>
      <w:r w:rsidRPr="0009594D">
        <w:rPr>
          <w:lang w:val="nl-BE"/>
        </w:rPr>
        <w:t>installaties. De koperen fittingen worden door middel van persverbindingen met de buizen verbonden</w:t>
      </w:r>
      <w:r w:rsidR="00B94AA6">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197278" w:rsidP="005949A3">
      <w:pPr>
        <w:pStyle w:val="Bulleted2"/>
        <w:numPr>
          <w:ilvl w:val="0"/>
          <w:numId w:val="0"/>
        </w:numPr>
      </w:pPr>
      <w:r w:rsidRPr="00197278">
        <w:rPr>
          <w:lang w:val="nl-BE"/>
        </w:rPr>
        <w:t>De persfittingen kunnen worden gebruikt in combinatie met naadloze koperen buizen conform NBN EN 1057</w:t>
      </w:r>
      <w:r w:rsidR="006C25BD">
        <w:t>:</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197278" w:rsidTr="00B938EF">
        <w:tc>
          <w:tcPr>
            <w:tcW w:w="1559" w:type="dxa"/>
            <w:vMerge w:val="restart"/>
          </w:tcPr>
          <w:p w:rsidR="00197278" w:rsidRDefault="00197278" w:rsidP="00171BD1">
            <w:pPr>
              <w:pStyle w:val="Bulleted2"/>
              <w:numPr>
                <w:ilvl w:val="0"/>
                <w:numId w:val="0"/>
              </w:numPr>
              <w:jc w:val="center"/>
            </w:pPr>
            <w:r>
              <w:t>DN</w:t>
            </w:r>
          </w:p>
        </w:tc>
        <w:tc>
          <w:tcPr>
            <w:tcW w:w="1559" w:type="dxa"/>
            <w:vMerge w:val="restart"/>
          </w:tcPr>
          <w:p w:rsidR="00197278" w:rsidRDefault="00197278" w:rsidP="00171BD1">
            <w:pPr>
              <w:pStyle w:val="Bulleted2"/>
              <w:numPr>
                <w:ilvl w:val="0"/>
                <w:numId w:val="0"/>
              </w:numPr>
              <w:jc w:val="center"/>
            </w:pPr>
            <w:r>
              <w:t>Diameter (mm)</w:t>
            </w:r>
          </w:p>
        </w:tc>
        <w:tc>
          <w:tcPr>
            <w:tcW w:w="1560" w:type="dxa"/>
            <w:vMerge w:val="restart"/>
            <w:tcBorders>
              <w:right w:val="single" w:sz="4" w:space="0" w:color="auto"/>
            </w:tcBorders>
          </w:tcPr>
          <w:p w:rsidR="00197278" w:rsidRDefault="00197278" w:rsidP="00171BD1">
            <w:pPr>
              <w:pStyle w:val="Bulleted2"/>
              <w:numPr>
                <w:ilvl w:val="0"/>
                <w:numId w:val="0"/>
              </w:numPr>
              <w:jc w:val="center"/>
            </w:pPr>
            <w:r>
              <w:t>Wanddikte (mm)</w:t>
            </w:r>
          </w:p>
        </w:tc>
        <w:tc>
          <w:tcPr>
            <w:tcW w:w="4678" w:type="dxa"/>
            <w:gridSpan w:val="3"/>
            <w:tcBorders>
              <w:left w:val="single" w:sz="4" w:space="0" w:color="auto"/>
            </w:tcBorders>
          </w:tcPr>
          <w:p w:rsidR="00197278" w:rsidRDefault="00197278" w:rsidP="00171BD1">
            <w:pPr>
              <w:pStyle w:val="Bulleted2"/>
              <w:numPr>
                <w:ilvl w:val="0"/>
                <w:numId w:val="0"/>
              </w:numPr>
              <w:jc w:val="center"/>
            </w:pPr>
            <w:r>
              <w:t>Sterkte</w:t>
            </w:r>
          </w:p>
        </w:tc>
      </w:tr>
      <w:tr w:rsidR="00197278" w:rsidTr="00197278">
        <w:tc>
          <w:tcPr>
            <w:tcW w:w="1559" w:type="dxa"/>
            <w:vMerge/>
          </w:tcPr>
          <w:p w:rsidR="00197278" w:rsidRDefault="00197278" w:rsidP="00F540A7">
            <w:pPr>
              <w:pStyle w:val="Bulleted2"/>
              <w:numPr>
                <w:ilvl w:val="0"/>
                <w:numId w:val="0"/>
              </w:numPr>
              <w:jc w:val="center"/>
            </w:pPr>
          </w:p>
        </w:tc>
        <w:tc>
          <w:tcPr>
            <w:tcW w:w="1559" w:type="dxa"/>
            <w:vMerge/>
          </w:tcPr>
          <w:p w:rsidR="00197278" w:rsidRDefault="00197278" w:rsidP="00F540A7">
            <w:pPr>
              <w:pStyle w:val="Bulleted2"/>
              <w:numPr>
                <w:ilvl w:val="0"/>
                <w:numId w:val="0"/>
              </w:numPr>
              <w:jc w:val="center"/>
            </w:pPr>
          </w:p>
        </w:tc>
        <w:tc>
          <w:tcPr>
            <w:tcW w:w="1560" w:type="dxa"/>
            <w:vMerge/>
            <w:tcBorders>
              <w:right w:val="single" w:sz="4" w:space="0" w:color="auto"/>
            </w:tcBorders>
          </w:tcPr>
          <w:p w:rsidR="00197278" w:rsidRDefault="00197278" w:rsidP="00F540A7">
            <w:pPr>
              <w:pStyle w:val="Bulleted2"/>
              <w:numPr>
                <w:ilvl w:val="0"/>
                <w:numId w:val="0"/>
              </w:numPr>
              <w:jc w:val="center"/>
            </w:pPr>
          </w:p>
        </w:tc>
        <w:tc>
          <w:tcPr>
            <w:tcW w:w="1559" w:type="dxa"/>
            <w:tcBorders>
              <w:left w:val="single" w:sz="4" w:space="0" w:color="auto"/>
            </w:tcBorders>
          </w:tcPr>
          <w:p w:rsidR="00197278" w:rsidRDefault="00197278" w:rsidP="00F540A7">
            <w:pPr>
              <w:pStyle w:val="Bulleted2"/>
              <w:numPr>
                <w:ilvl w:val="0"/>
                <w:numId w:val="0"/>
              </w:numPr>
              <w:jc w:val="center"/>
            </w:pPr>
            <w:r>
              <w:t>Zacht (R220)</w:t>
            </w:r>
          </w:p>
        </w:tc>
        <w:tc>
          <w:tcPr>
            <w:tcW w:w="1559" w:type="dxa"/>
          </w:tcPr>
          <w:p w:rsidR="00197278" w:rsidRDefault="00197278" w:rsidP="00F540A7">
            <w:pPr>
              <w:pStyle w:val="Bulleted2"/>
              <w:numPr>
                <w:ilvl w:val="0"/>
                <w:numId w:val="0"/>
              </w:numPr>
              <w:jc w:val="center"/>
            </w:pPr>
            <w:r>
              <w:t>Half hard (R250)</w:t>
            </w:r>
          </w:p>
        </w:tc>
        <w:tc>
          <w:tcPr>
            <w:tcW w:w="1560" w:type="dxa"/>
          </w:tcPr>
          <w:p w:rsidR="00197278" w:rsidRDefault="00197278" w:rsidP="00F540A7">
            <w:pPr>
              <w:pStyle w:val="Bulleted2"/>
              <w:numPr>
                <w:ilvl w:val="0"/>
                <w:numId w:val="0"/>
              </w:numPr>
              <w:jc w:val="center"/>
            </w:pPr>
            <w:r>
              <w:t>Hard (R290)</w:t>
            </w:r>
          </w:p>
        </w:tc>
      </w:tr>
      <w:tr w:rsidR="00197278" w:rsidTr="00197278">
        <w:tc>
          <w:tcPr>
            <w:tcW w:w="1559" w:type="dxa"/>
          </w:tcPr>
          <w:p w:rsidR="00197278" w:rsidRDefault="00B91A61" w:rsidP="00F540A7">
            <w:pPr>
              <w:pStyle w:val="Bulleted2"/>
              <w:numPr>
                <w:ilvl w:val="0"/>
                <w:numId w:val="0"/>
              </w:numPr>
              <w:jc w:val="center"/>
            </w:pPr>
            <w:r>
              <w:t>10</w:t>
            </w:r>
          </w:p>
        </w:tc>
        <w:tc>
          <w:tcPr>
            <w:tcW w:w="1559" w:type="dxa"/>
          </w:tcPr>
          <w:p w:rsidR="00197278" w:rsidRDefault="00B91A61" w:rsidP="00F540A7">
            <w:pPr>
              <w:pStyle w:val="Bulleted2"/>
              <w:numPr>
                <w:ilvl w:val="0"/>
                <w:numId w:val="0"/>
              </w:numPr>
              <w:jc w:val="center"/>
            </w:pPr>
            <w:r>
              <w:t>12</w:t>
            </w:r>
          </w:p>
        </w:tc>
        <w:tc>
          <w:tcPr>
            <w:tcW w:w="1560" w:type="dxa"/>
            <w:tcBorders>
              <w:right w:val="single" w:sz="4" w:space="0" w:color="auto"/>
            </w:tcBorders>
          </w:tcPr>
          <w:p w:rsidR="00197278" w:rsidRDefault="00B91A61" w:rsidP="00F540A7">
            <w:pPr>
              <w:pStyle w:val="Bulleted2"/>
              <w:numPr>
                <w:ilvl w:val="0"/>
                <w:numId w:val="0"/>
              </w:numPr>
              <w:jc w:val="center"/>
            </w:pPr>
            <w:r>
              <w:t>1,0</w:t>
            </w:r>
          </w:p>
        </w:tc>
        <w:tc>
          <w:tcPr>
            <w:tcW w:w="1559" w:type="dxa"/>
            <w:tcBorders>
              <w:left w:val="single" w:sz="4" w:space="0" w:color="auto"/>
            </w:tcBorders>
          </w:tcPr>
          <w:p w:rsidR="00197278" w:rsidRDefault="00B91A61" w:rsidP="00175A44">
            <w:pPr>
              <w:pStyle w:val="Bulleted2"/>
              <w:numPr>
                <w:ilvl w:val="0"/>
                <w:numId w:val="0"/>
              </w:numPr>
              <w:jc w:val="center"/>
            </w:pPr>
            <w:r>
              <w:t>v</w:t>
            </w:r>
          </w:p>
        </w:tc>
        <w:tc>
          <w:tcPr>
            <w:tcW w:w="1559" w:type="dxa"/>
          </w:tcPr>
          <w:p w:rsidR="00197278" w:rsidRDefault="00B91A61" w:rsidP="00175A44">
            <w:pPr>
              <w:pStyle w:val="Bulleted2"/>
              <w:numPr>
                <w:ilvl w:val="0"/>
                <w:numId w:val="0"/>
              </w:numPr>
              <w:jc w:val="center"/>
            </w:pPr>
            <w:r>
              <w:t>v</w:t>
            </w:r>
          </w:p>
        </w:tc>
        <w:tc>
          <w:tcPr>
            <w:tcW w:w="1560" w:type="dxa"/>
          </w:tcPr>
          <w:p w:rsidR="00197278"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12</w:t>
            </w:r>
          </w:p>
        </w:tc>
        <w:tc>
          <w:tcPr>
            <w:tcW w:w="1559" w:type="dxa"/>
          </w:tcPr>
          <w:p w:rsidR="00B91A61" w:rsidRDefault="00B91A61" w:rsidP="00B91A61">
            <w:pPr>
              <w:pStyle w:val="Bulleted2"/>
              <w:numPr>
                <w:ilvl w:val="0"/>
                <w:numId w:val="0"/>
              </w:numPr>
              <w:jc w:val="center"/>
            </w:pPr>
            <w:r>
              <w:t>15</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15</w:t>
            </w:r>
          </w:p>
        </w:tc>
        <w:tc>
          <w:tcPr>
            <w:tcW w:w="1559" w:type="dxa"/>
          </w:tcPr>
          <w:p w:rsidR="00B91A61" w:rsidRDefault="00B91A61" w:rsidP="00B91A61">
            <w:pPr>
              <w:pStyle w:val="Bulleted2"/>
              <w:numPr>
                <w:ilvl w:val="0"/>
                <w:numId w:val="0"/>
              </w:numPr>
              <w:jc w:val="center"/>
            </w:pPr>
            <w:r>
              <w:t>18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197278">
        <w:tc>
          <w:tcPr>
            <w:tcW w:w="1559" w:type="dxa"/>
          </w:tcPr>
          <w:p w:rsidR="00B91A61" w:rsidRDefault="00B91A61" w:rsidP="00B91A61">
            <w:pPr>
              <w:pStyle w:val="Bulleted2"/>
              <w:numPr>
                <w:ilvl w:val="0"/>
                <w:numId w:val="0"/>
              </w:numPr>
              <w:jc w:val="center"/>
            </w:pPr>
            <w:r>
              <w:t>20</w:t>
            </w:r>
          </w:p>
        </w:tc>
        <w:tc>
          <w:tcPr>
            <w:tcW w:w="1559" w:type="dxa"/>
          </w:tcPr>
          <w:p w:rsidR="00B91A61" w:rsidRDefault="00B91A61" w:rsidP="00B91A61">
            <w:pPr>
              <w:pStyle w:val="Bulleted2"/>
              <w:numPr>
                <w:ilvl w:val="0"/>
                <w:numId w:val="0"/>
              </w:numPr>
              <w:jc w:val="center"/>
            </w:pPr>
            <w:r>
              <w:t>22</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B91A61" w:rsidP="00175A44">
            <w:pPr>
              <w:pStyle w:val="Bulleted2"/>
              <w:numPr>
                <w:ilvl w:val="0"/>
                <w:numId w:val="0"/>
              </w:numPr>
              <w:jc w:val="center"/>
            </w:pPr>
            <w:r>
              <w:t>v</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25</w:t>
            </w:r>
          </w:p>
        </w:tc>
        <w:tc>
          <w:tcPr>
            <w:tcW w:w="1559" w:type="dxa"/>
            <w:vMerge w:val="restart"/>
            <w:vAlign w:val="center"/>
          </w:tcPr>
          <w:p w:rsidR="00B91A61" w:rsidRDefault="00B91A61" w:rsidP="00B91A61">
            <w:pPr>
              <w:pStyle w:val="Bulleted2"/>
              <w:numPr>
                <w:ilvl w:val="0"/>
                <w:numId w:val="0"/>
              </w:numPr>
              <w:jc w:val="center"/>
            </w:pPr>
            <w:r>
              <w:t>28</w:t>
            </w:r>
          </w:p>
        </w:tc>
        <w:tc>
          <w:tcPr>
            <w:tcW w:w="1560" w:type="dxa"/>
            <w:tcBorders>
              <w:right w:val="single" w:sz="4" w:space="0" w:color="auto"/>
            </w:tcBorders>
          </w:tcPr>
          <w:p w:rsidR="00B91A61" w:rsidRDefault="00B91A61" w:rsidP="00B91A61">
            <w:pPr>
              <w:pStyle w:val="Bulleted2"/>
              <w:numPr>
                <w:ilvl w:val="0"/>
                <w:numId w:val="0"/>
              </w:numPr>
              <w:jc w:val="center"/>
            </w:pPr>
            <w:r>
              <w:t>1,0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B91A61" w:rsidP="00175A44">
            <w:pPr>
              <w:pStyle w:val="Bulleted2"/>
              <w:numPr>
                <w:ilvl w:val="0"/>
                <w:numId w:val="0"/>
              </w:numPr>
              <w:jc w:val="center"/>
            </w:pPr>
            <w:r>
              <w:t>v</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32</w:t>
            </w:r>
          </w:p>
        </w:tc>
        <w:tc>
          <w:tcPr>
            <w:tcW w:w="1559" w:type="dxa"/>
            <w:vMerge w:val="restart"/>
            <w:vAlign w:val="center"/>
          </w:tcPr>
          <w:p w:rsidR="00B91A61" w:rsidRDefault="00B91A61" w:rsidP="00B91A61">
            <w:pPr>
              <w:pStyle w:val="Bulleted2"/>
              <w:numPr>
                <w:ilvl w:val="0"/>
                <w:numId w:val="0"/>
              </w:numPr>
              <w:jc w:val="center"/>
            </w:pPr>
            <w:r>
              <w:t>35</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B91A61"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40</w:t>
            </w:r>
          </w:p>
        </w:tc>
        <w:tc>
          <w:tcPr>
            <w:tcW w:w="1559" w:type="dxa"/>
            <w:vMerge w:val="restart"/>
            <w:vAlign w:val="center"/>
          </w:tcPr>
          <w:p w:rsidR="00B91A61" w:rsidRDefault="00B91A61" w:rsidP="00B91A61">
            <w:pPr>
              <w:pStyle w:val="Bulleted2"/>
              <w:numPr>
                <w:ilvl w:val="0"/>
                <w:numId w:val="0"/>
              </w:numPr>
              <w:jc w:val="center"/>
            </w:pPr>
            <w:r>
              <w:t>42</w:t>
            </w:r>
          </w:p>
        </w:tc>
        <w:tc>
          <w:tcPr>
            <w:tcW w:w="1560" w:type="dxa"/>
            <w:tcBorders>
              <w:right w:val="single" w:sz="4" w:space="0" w:color="auto"/>
            </w:tcBorders>
          </w:tcPr>
          <w:p w:rsidR="00B91A61" w:rsidRDefault="00B91A61" w:rsidP="00B91A61">
            <w:pPr>
              <w:pStyle w:val="Bulleted2"/>
              <w:numPr>
                <w:ilvl w:val="0"/>
                <w:numId w:val="0"/>
              </w:numPr>
              <w:jc w:val="center"/>
            </w:pPr>
            <w:r>
              <w:t>1,2</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ign w:val="center"/>
          </w:tcPr>
          <w:p w:rsidR="00B91A61" w:rsidRDefault="00B91A61" w:rsidP="00B91A61">
            <w:pPr>
              <w:pStyle w:val="Bulleted2"/>
              <w:numPr>
                <w:ilvl w:val="0"/>
                <w:numId w:val="0"/>
              </w:numPr>
              <w:jc w:val="center"/>
            </w:pPr>
          </w:p>
        </w:tc>
        <w:tc>
          <w:tcPr>
            <w:tcW w:w="1559" w:type="dxa"/>
            <w:vMerge/>
            <w:vAlign w:val="center"/>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B91A61">
        <w:tc>
          <w:tcPr>
            <w:tcW w:w="1559" w:type="dxa"/>
            <w:vMerge w:val="restart"/>
            <w:vAlign w:val="center"/>
          </w:tcPr>
          <w:p w:rsidR="00B91A61" w:rsidRDefault="00B91A61" w:rsidP="00B91A61">
            <w:pPr>
              <w:pStyle w:val="Bulleted2"/>
              <w:numPr>
                <w:ilvl w:val="0"/>
                <w:numId w:val="0"/>
              </w:numPr>
              <w:jc w:val="center"/>
            </w:pPr>
            <w:r>
              <w:t>50</w:t>
            </w:r>
          </w:p>
        </w:tc>
        <w:tc>
          <w:tcPr>
            <w:tcW w:w="1559" w:type="dxa"/>
            <w:vMerge w:val="restart"/>
            <w:vAlign w:val="center"/>
          </w:tcPr>
          <w:p w:rsidR="00B91A61" w:rsidRDefault="00B91A61" w:rsidP="00B91A61">
            <w:pPr>
              <w:pStyle w:val="Bulleted2"/>
              <w:numPr>
                <w:ilvl w:val="0"/>
                <w:numId w:val="0"/>
              </w:numPr>
              <w:jc w:val="center"/>
            </w:pPr>
            <w:r>
              <w:t>54</w:t>
            </w:r>
          </w:p>
        </w:tc>
        <w:tc>
          <w:tcPr>
            <w:tcW w:w="1560" w:type="dxa"/>
            <w:tcBorders>
              <w:right w:val="single" w:sz="4" w:space="0" w:color="auto"/>
            </w:tcBorders>
          </w:tcPr>
          <w:p w:rsidR="00B91A61" w:rsidRDefault="00B91A61" w:rsidP="00B91A61">
            <w:pPr>
              <w:pStyle w:val="Bulleted2"/>
              <w:numPr>
                <w:ilvl w:val="0"/>
                <w:numId w:val="0"/>
              </w:numPr>
              <w:jc w:val="center"/>
            </w:pPr>
            <w:r>
              <w:t>1,5</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r w:rsidR="00B91A61" w:rsidTr="00197278">
        <w:tc>
          <w:tcPr>
            <w:tcW w:w="1559" w:type="dxa"/>
            <w:vMerge/>
          </w:tcPr>
          <w:p w:rsidR="00B91A61" w:rsidRDefault="00B91A61" w:rsidP="00B91A61">
            <w:pPr>
              <w:pStyle w:val="Bulleted2"/>
              <w:numPr>
                <w:ilvl w:val="0"/>
                <w:numId w:val="0"/>
              </w:numPr>
              <w:jc w:val="center"/>
            </w:pPr>
          </w:p>
        </w:tc>
        <w:tc>
          <w:tcPr>
            <w:tcW w:w="1559" w:type="dxa"/>
            <w:vMerge/>
          </w:tcPr>
          <w:p w:rsidR="00B91A61" w:rsidRDefault="00B91A61" w:rsidP="00B91A61">
            <w:pPr>
              <w:pStyle w:val="Bulleted2"/>
              <w:numPr>
                <w:ilvl w:val="0"/>
                <w:numId w:val="0"/>
              </w:numPr>
              <w:jc w:val="center"/>
            </w:pPr>
          </w:p>
        </w:tc>
        <w:tc>
          <w:tcPr>
            <w:tcW w:w="1560" w:type="dxa"/>
            <w:tcBorders>
              <w:right w:val="single" w:sz="4" w:space="0" w:color="auto"/>
            </w:tcBorders>
          </w:tcPr>
          <w:p w:rsidR="00B91A61" w:rsidRDefault="00B91A61" w:rsidP="00B91A61">
            <w:pPr>
              <w:pStyle w:val="Bulleted2"/>
              <w:numPr>
                <w:ilvl w:val="0"/>
                <w:numId w:val="0"/>
              </w:numPr>
              <w:jc w:val="center"/>
            </w:pPr>
            <w:r>
              <w:t>2,0</w:t>
            </w:r>
          </w:p>
        </w:tc>
        <w:tc>
          <w:tcPr>
            <w:tcW w:w="1559" w:type="dxa"/>
            <w:tcBorders>
              <w:left w:val="single" w:sz="4" w:space="0" w:color="auto"/>
            </w:tcBorders>
          </w:tcPr>
          <w:p w:rsidR="00B91A61" w:rsidRDefault="00175A44" w:rsidP="00175A44">
            <w:pPr>
              <w:pStyle w:val="Bulleted2"/>
              <w:numPr>
                <w:ilvl w:val="0"/>
                <w:numId w:val="0"/>
              </w:numPr>
              <w:jc w:val="center"/>
            </w:pPr>
            <w:r>
              <w:t>-</w:t>
            </w:r>
          </w:p>
        </w:tc>
        <w:tc>
          <w:tcPr>
            <w:tcW w:w="1559" w:type="dxa"/>
          </w:tcPr>
          <w:p w:rsidR="00B91A61" w:rsidRDefault="00175A44" w:rsidP="00175A44">
            <w:pPr>
              <w:pStyle w:val="Bulleted2"/>
              <w:numPr>
                <w:ilvl w:val="0"/>
                <w:numId w:val="0"/>
              </w:numPr>
              <w:jc w:val="center"/>
            </w:pPr>
            <w:r>
              <w:t>-</w:t>
            </w:r>
          </w:p>
        </w:tc>
        <w:tc>
          <w:tcPr>
            <w:tcW w:w="1560" w:type="dxa"/>
          </w:tcPr>
          <w:p w:rsidR="00B91A61" w:rsidRDefault="00175A44" w:rsidP="00175A44">
            <w:pPr>
              <w:pStyle w:val="Bulleted2"/>
              <w:numPr>
                <w:ilvl w:val="0"/>
                <w:numId w:val="0"/>
              </w:numPr>
              <w:jc w:val="center"/>
            </w:pPr>
            <w:r>
              <w:t>v</w:t>
            </w:r>
          </w:p>
        </w:tc>
      </w:tr>
    </w:tbl>
    <w:p w:rsidR="00685B7E" w:rsidRDefault="00685B7E" w:rsidP="00886585">
      <w:pPr>
        <w:pStyle w:val="Bulleted2"/>
        <w:numPr>
          <w:ilvl w:val="0"/>
          <w:numId w:val="0"/>
        </w:numPr>
      </w:pP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98654B" w:rsidP="00F540A7">
      <w:pPr>
        <w:pStyle w:val="Bulleted2"/>
        <w:numPr>
          <w:ilvl w:val="0"/>
          <w:numId w:val="0"/>
        </w:numPr>
      </w:pPr>
      <w:r w:rsidRPr="0098654B">
        <w:rPr>
          <w:lang w:val="nl-BE"/>
        </w:rPr>
        <w:t>Persfittingen zonder schroefdraad zijn vervaardigd uit DHP-koper (CW 024A) volgens NBN EN 1057. Persfittingen met schroefdraad zijn vervaardigd uit brons (CC 491K) volgens NBN EN 1982</w:t>
      </w:r>
      <w:r w:rsidR="00F540A7">
        <w:t>.</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5768B8">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98654B">
        <w:rPr>
          <w:rFonts w:ascii="Helvetica 45 Light" w:hAnsi="Helvetica 45 Light"/>
          <w:color w:val="000000"/>
        </w:rPr>
        <w:t>witte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De persfittingen</w:t>
      </w:r>
      <w:r w:rsidR="0098654B">
        <w:t xml:space="preserve"> </w:t>
      </w:r>
      <w:r>
        <w:t xml:space="preserve">hebben een </w:t>
      </w:r>
      <w:r w:rsidR="005D6BE1">
        <w:rPr>
          <w:i/>
          <w:iCs/>
        </w:rPr>
        <w:t xml:space="preserve">gele </w:t>
      </w:r>
      <w:r w:rsidR="005D6BE1" w:rsidRPr="005D6BE1">
        <w:t>O-ring in HNBR</w:t>
      </w:r>
      <w:r>
        <w:t xml:space="preserve"> die zorgt voor de dichting tussen buis en persfitting.</w:t>
      </w:r>
      <w:r w:rsidR="00CA1667">
        <w:t xml:space="preserve">  </w:t>
      </w:r>
    </w:p>
    <w:p w:rsidR="0098654B" w:rsidRDefault="0098654B"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AE46C5">
              <w:rPr>
                <w:i/>
                <w:iCs/>
                <w:highlight w:val="yellow"/>
                <w:vertAlign w:val="superscript"/>
              </w:rPr>
              <w:t>2</w:t>
            </w:r>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F411B0">
              <w:t>66</w:t>
            </w:r>
            <w:r w:rsidR="00CA1667">
              <w:t xml:space="preserve">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604F15" w:rsidRDefault="00FD410F" w:rsidP="00FD410F">
      <w:pPr>
        <w:pStyle w:val="Bulleted2"/>
        <w:numPr>
          <w:ilvl w:val="0"/>
          <w:numId w:val="0"/>
        </w:numPr>
      </w:pPr>
      <w:r>
        <w:t>Volgens de richtlijnen van de fabrikant</w:t>
      </w:r>
      <w:r w:rsidR="005D6BE1">
        <w:t xml:space="preserve"> en de voorschriften van </w:t>
      </w:r>
      <w:r w:rsidR="001E3415" w:rsidRPr="001E3415">
        <w:rPr>
          <w:i/>
          <w:iCs/>
          <w:highlight w:val="yellow"/>
        </w:rPr>
        <w:t xml:space="preserve">relevante </w:t>
      </w:r>
      <w:r w:rsidR="005D6BE1" w:rsidRPr="001E3415">
        <w:rPr>
          <w:i/>
          <w:iCs/>
          <w:highlight w:val="yellow"/>
        </w:rPr>
        <w:t>nor</w:t>
      </w:r>
      <w:r w:rsidR="005D6BE1" w:rsidRPr="005D6BE1">
        <w:rPr>
          <w:i/>
          <w:iCs/>
          <w:highlight w:val="yellow"/>
        </w:rPr>
        <w:t>m in te vullen</w:t>
      </w:r>
      <w:r w:rsidR="00AE46C5" w:rsidRPr="00CC76D8">
        <w:rPr>
          <w:i/>
          <w:iCs/>
          <w:highlight w:val="yellow"/>
        </w:rPr>
        <w:t xml:space="preserve"> </w:t>
      </w:r>
      <w:r w:rsidR="00AE46C5" w:rsidRPr="00CC76D8">
        <w:rPr>
          <w:i/>
          <w:iCs/>
          <w:highlight w:val="yellow"/>
          <w:vertAlign w:val="superscript"/>
        </w:rPr>
        <w:t>(</w:t>
      </w:r>
      <w:r w:rsidR="00AE46C5">
        <w:rPr>
          <w:i/>
          <w:iCs/>
          <w:highlight w:val="yellow"/>
          <w:vertAlign w:val="superscript"/>
        </w:rPr>
        <w:t>3</w:t>
      </w:r>
      <w:r w:rsidR="00AE46C5" w:rsidRPr="00CC76D8">
        <w:rPr>
          <w:i/>
          <w:iCs/>
          <w:highlight w:val="yellow"/>
          <w:vertAlign w:val="superscript"/>
        </w:rPr>
        <w:t>)</w:t>
      </w:r>
      <w:r w:rsidR="00AE46C5">
        <w:t>.</w:t>
      </w:r>
    </w:p>
    <w:p w:rsidR="00AE46C5" w:rsidRPr="00AE46C5" w:rsidRDefault="00AE46C5" w:rsidP="00FD410F">
      <w:pPr>
        <w:pStyle w:val="Bulleted2"/>
        <w:numPr>
          <w:ilvl w:val="0"/>
          <w:numId w:val="0"/>
        </w:numPr>
        <w:rPr>
          <w:i/>
          <w:iCs/>
          <w:vertAlign w:val="superscript"/>
        </w:rPr>
      </w:pPr>
    </w:p>
    <w:p w:rsidR="00AE46C5" w:rsidRPr="00CA1667" w:rsidRDefault="00AE46C5" w:rsidP="00AE46C5">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AE46C5" w:rsidP="0069129C">
      <w:pPr>
        <w:pStyle w:val="Bulleted2"/>
        <w:numPr>
          <w:ilvl w:val="0"/>
          <w:numId w:val="0"/>
        </w:numPr>
      </w:pPr>
      <w:r w:rsidRPr="00AE46C5">
        <w:rPr>
          <w:lang w:val="nl-BE"/>
        </w:rPr>
        <w:t xml:space="preserve">De fittingen </w:t>
      </w:r>
      <w:r>
        <w:rPr>
          <w:lang w:val="nl-BE"/>
        </w:rPr>
        <w:t xml:space="preserve">voldoen aan de voorwaarden van </w:t>
      </w:r>
      <w:r w:rsidR="00604C6A">
        <w:rPr>
          <w:lang w:val="nl-BE"/>
        </w:rPr>
        <w:t>Gas.be</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bookmarkStart w:id="0" w:name="_GoBack"/>
      <w:bookmarkEnd w:id="0"/>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MOP5 / GT1</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7D75E2" w:rsidP="00604F15">
      <w:pPr>
        <w:pStyle w:val="Bulleted2"/>
        <w:numPr>
          <w:ilvl w:val="1"/>
          <w:numId w:val="31"/>
        </w:numPr>
        <w:rPr>
          <w:highlight w:val="yellow"/>
          <w:vertAlign w:val="superscript"/>
        </w:rPr>
      </w:pPr>
      <w:r>
        <w:rPr>
          <w:highlight w:val="yellow"/>
          <w:vertAlign w:val="superscript"/>
        </w:rPr>
        <w:t>Aardgas, vloeibare gassen</w:t>
      </w:r>
      <w:r w:rsidR="00604F15" w:rsidRPr="001749F1">
        <w:rPr>
          <w:highlight w:val="yellow"/>
          <w:vertAlign w:val="superscript"/>
        </w:rPr>
        <w:t xml:space="preserve">: </w:t>
      </w:r>
      <w:r>
        <w:rPr>
          <w:highlight w:val="yellow"/>
          <w:vertAlign w:val="superscript"/>
        </w:rPr>
        <w:t>-20</w:t>
      </w:r>
      <w:r w:rsidR="00604F15" w:rsidRPr="001749F1">
        <w:rPr>
          <w:highlight w:val="yellow"/>
          <w:vertAlign w:val="superscript"/>
        </w:rPr>
        <w:t xml:space="preserve">°C – </w:t>
      </w:r>
      <w:r>
        <w:rPr>
          <w:highlight w:val="yellow"/>
          <w:vertAlign w:val="superscript"/>
        </w:rPr>
        <w:t>7</w:t>
      </w:r>
      <w:r w:rsidR="00604F15" w:rsidRPr="001749F1">
        <w:rPr>
          <w:highlight w:val="yellow"/>
          <w:vertAlign w:val="superscript"/>
        </w:rPr>
        <w:t>0°C</w:t>
      </w:r>
    </w:p>
    <w:p w:rsidR="007D75E2" w:rsidRPr="007D75E2" w:rsidRDefault="007D75E2" w:rsidP="007D75E2">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w:t>
      </w:r>
      <w:r w:rsidR="00FD4019">
        <w:rPr>
          <w:highlight w:val="yellow"/>
          <w:vertAlign w:val="superscript"/>
        </w:rPr>
        <w:t>, …</w:t>
      </w:r>
    </w:p>
    <w:p w:rsidR="00AE46C5" w:rsidRPr="001749F1" w:rsidRDefault="00AE46C5" w:rsidP="00AE46C5">
      <w:pPr>
        <w:pStyle w:val="Bulleted2"/>
        <w:numPr>
          <w:ilvl w:val="0"/>
          <w:numId w:val="0"/>
        </w:numPr>
        <w:ind w:left="720" w:hanging="360"/>
        <w:rPr>
          <w:highlight w:val="yellow"/>
          <w:vertAlign w:val="superscript"/>
        </w:rPr>
      </w:pP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94D" w:rsidRDefault="0013194D">
      <w:r>
        <w:separator/>
      </w:r>
    </w:p>
  </w:endnote>
  <w:endnote w:type="continuationSeparator" w:id="0">
    <w:p w:rsidR="0013194D" w:rsidRDefault="0013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94D" w:rsidRDefault="0013194D">
      <w:r>
        <w:separator/>
      </w:r>
    </w:p>
  </w:footnote>
  <w:footnote w:type="continuationSeparator" w:id="0">
    <w:p w:rsidR="0013194D" w:rsidRDefault="00131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09594D">
      <w:rPr>
        <w:rFonts w:ascii="Arial" w:hAnsi="Arial" w:cs="Arial"/>
        <w:b/>
      </w:rPr>
      <w:t>Koper</w:t>
    </w:r>
    <w:r w:rsidR="005768B8">
      <w:rPr>
        <w:rFonts w:ascii="Arial" w:hAnsi="Arial" w:cs="Arial"/>
        <w:b/>
      </w:rPr>
      <w:t xml:space="preserve"> 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3415" w:rsidRDefault="001E341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779A2"/>
    <w:rsid w:val="00080B0F"/>
    <w:rsid w:val="00081315"/>
    <w:rsid w:val="00085A0C"/>
    <w:rsid w:val="00086176"/>
    <w:rsid w:val="00087CA8"/>
    <w:rsid w:val="000903DE"/>
    <w:rsid w:val="0009240B"/>
    <w:rsid w:val="0009594D"/>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194D"/>
    <w:rsid w:val="0013316F"/>
    <w:rsid w:val="00136D84"/>
    <w:rsid w:val="00140C45"/>
    <w:rsid w:val="001477B0"/>
    <w:rsid w:val="00153C00"/>
    <w:rsid w:val="001713AD"/>
    <w:rsid w:val="00175A44"/>
    <w:rsid w:val="00186A4B"/>
    <w:rsid w:val="001879EF"/>
    <w:rsid w:val="00193583"/>
    <w:rsid w:val="00197278"/>
    <w:rsid w:val="001A794D"/>
    <w:rsid w:val="001B72F7"/>
    <w:rsid w:val="001B76D0"/>
    <w:rsid w:val="001C502F"/>
    <w:rsid w:val="001C5873"/>
    <w:rsid w:val="001C76B6"/>
    <w:rsid w:val="001D0EC1"/>
    <w:rsid w:val="001D4A54"/>
    <w:rsid w:val="001D79B0"/>
    <w:rsid w:val="001E3415"/>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47DE"/>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C34D6"/>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768B8"/>
    <w:rsid w:val="00580A4E"/>
    <w:rsid w:val="00580E2C"/>
    <w:rsid w:val="00584014"/>
    <w:rsid w:val="00585783"/>
    <w:rsid w:val="00585883"/>
    <w:rsid w:val="005928F6"/>
    <w:rsid w:val="005946D1"/>
    <w:rsid w:val="005949A3"/>
    <w:rsid w:val="005961D6"/>
    <w:rsid w:val="005A1279"/>
    <w:rsid w:val="005A134F"/>
    <w:rsid w:val="005A3712"/>
    <w:rsid w:val="005A598C"/>
    <w:rsid w:val="005A687F"/>
    <w:rsid w:val="005B0D0E"/>
    <w:rsid w:val="005C40C8"/>
    <w:rsid w:val="005C419B"/>
    <w:rsid w:val="005C6CB1"/>
    <w:rsid w:val="005C7B14"/>
    <w:rsid w:val="005D1729"/>
    <w:rsid w:val="005D45E4"/>
    <w:rsid w:val="005D6BE1"/>
    <w:rsid w:val="005D7C6A"/>
    <w:rsid w:val="005E4015"/>
    <w:rsid w:val="005E4323"/>
    <w:rsid w:val="005E7DC9"/>
    <w:rsid w:val="005F35C3"/>
    <w:rsid w:val="005F6790"/>
    <w:rsid w:val="0060242F"/>
    <w:rsid w:val="00604C6A"/>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D75E2"/>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654B"/>
    <w:rsid w:val="009871A4"/>
    <w:rsid w:val="00991542"/>
    <w:rsid w:val="00993A68"/>
    <w:rsid w:val="009A26B4"/>
    <w:rsid w:val="009A6B3D"/>
    <w:rsid w:val="009B041E"/>
    <w:rsid w:val="009B2D45"/>
    <w:rsid w:val="009B3DB4"/>
    <w:rsid w:val="009C090D"/>
    <w:rsid w:val="009C3CC5"/>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46C5"/>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1A61"/>
    <w:rsid w:val="00B94AA6"/>
    <w:rsid w:val="00BA062A"/>
    <w:rsid w:val="00BB5D16"/>
    <w:rsid w:val="00BC022E"/>
    <w:rsid w:val="00BC05F8"/>
    <w:rsid w:val="00BC2DA3"/>
    <w:rsid w:val="00BC4714"/>
    <w:rsid w:val="00BC4952"/>
    <w:rsid w:val="00BC68FC"/>
    <w:rsid w:val="00BC6BD7"/>
    <w:rsid w:val="00BC75A7"/>
    <w:rsid w:val="00BD4BC8"/>
    <w:rsid w:val="00BE256A"/>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0896"/>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1B0"/>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019"/>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17A0C"/>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55526CE-D100-479E-975F-EB00A492D3F4}"/>
</file>

<file path=customXml/itemProps2.xml><?xml version="1.0" encoding="utf-8"?>
<ds:datastoreItem xmlns:ds="http://schemas.openxmlformats.org/officeDocument/2006/customXml" ds:itemID="{DBAC3E97-575A-49A3-89A3-08A6D2C60E00}"/>
</file>

<file path=customXml/itemProps3.xml><?xml version="1.0" encoding="utf-8"?>
<ds:datastoreItem xmlns:ds="http://schemas.openxmlformats.org/officeDocument/2006/customXml" ds:itemID="{1DF3ABCB-41FE-4AC7-98C5-AEB7C0A1356A}"/>
</file>

<file path=docProps/app.xml><?xml version="1.0" encoding="utf-8"?>
<Properties xmlns="http://schemas.openxmlformats.org/officeDocument/2006/extended-properties" xmlns:vt="http://schemas.openxmlformats.org/officeDocument/2006/docPropsVTypes">
  <Template>LASTB</Template>
  <TotalTime>31</TotalTime>
  <Pages>3</Pages>
  <Words>502</Words>
  <Characters>2765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2020-03-29T21:00:00Z</dcterms:created>
  <dcterms:modified xsi:type="dcterms:W3CDTF">2020-03-30T11:46:00Z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49700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